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3A415" w14:textId="05507D6C" w:rsidR="00CF6E0C" w:rsidRPr="00AF6EBD" w:rsidRDefault="00CF6E0C" w:rsidP="00AF6EBD">
      <w:pPr>
        <w:jc w:val="center"/>
        <w:rPr>
          <w:i/>
          <w:iCs/>
        </w:rPr>
      </w:pPr>
      <w:r w:rsidRPr="00AF6EBD">
        <w:rPr>
          <w:i/>
          <w:iCs/>
        </w:rPr>
        <w:t>Presented to the PCOB Policy and Procedure Subcommittee on 9/5/24</w:t>
      </w:r>
      <w:r w:rsidR="00AF6EBD" w:rsidRPr="00AF6EBD">
        <w:rPr>
          <w:i/>
          <w:iCs/>
        </w:rPr>
        <w:t xml:space="preserve"> for Discussion</w:t>
      </w:r>
    </w:p>
    <w:p w14:paraId="4FD9E577" w14:textId="77777777" w:rsidR="00CF6E0C" w:rsidRDefault="00CF6E0C" w:rsidP="00CF35D9">
      <w:pPr>
        <w:rPr>
          <w:b/>
          <w:bCs/>
        </w:rPr>
      </w:pPr>
    </w:p>
    <w:p w14:paraId="5A0B01FD" w14:textId="79DA8980" w:rsidR="00CF35D9" w:rsidRPr="00CF35D9" w:rsidRDefault="00CF35D9" w:rsidP="00CF35D9">
      <w:pPr>
        <w:rPr>
          <w:b/>
          <w:bCs/>
        </w:rPr>
      </w:pPr>
      <w:r w:rsidRPr="00CF35D9">
        <w:rPr>
          <w:b/>
          <w:bCs/>
        </w:rPr>
        <w:t xml:space="preserve">Triage Goal: </w:t>
      </w:r>
    </w:p>
    <w:p w14:paraId="56E36B4D" w14:textId="7808CAAB" w:rsidR="00CF35D9" w:rsidRDefault="00CF35D9" w:rsidP="00CF35D9">
      <w:r>
        <w:t>Ensure consistent prioritization of complaints utilizing a point system which represents the hierarchy of complaint metrics through a simple base 10 calculation, remaining flexible for future expansions and specifications</w:t>
      </w:r>
      <w:r w:rsidR="00F02BCB">
        <w:t xml:space="preserve"> but also predictable and</w:t>
      </w:r>
      <w:r w:rsidR="00550550">
        <w:t xml:space="preserve"> easily</w:t>
      </w:r>
      <w:r w:rsidR="00F02BCB">
        <w:t xml:space="preserve"> calculable</w:t>
      </w:r>
      <w:r w:rsidR="00550550">
        <w:t>.</w:t>
      </w:r>
    </w:p>
    <w:p w14:paraId="6D983F36" w14:textId="77777777" w:rsidR="00CF35D9" w:rsidRDefault="00CF35D9" w:rsidP="00CF35D9"/>
    <w:p w14:paraId="04BDFD72" w14:textId="77777777" w:rsidR="00CF35D9" w:rsidRPr="00CF35D9" w:rsidRDefault="00CF35D9" w:rsidP="00CF35D9">
      <w:pPr>
        <w:rPr>
          <w:b/>
          <w:bCs/>
          <w:u w:val="single"/>
        </w:rPr>
      </w:pPr>
      <w:r w:rsidRPr="00CF35D9">
        <w:rPr>
          <w:b/>
          <w:bCs/>
          <w:u w:val="single"/>
        </w:rPr>
        <w:t>Results of a Complaint:</w:t>
      </w:r>
    </w:p>
    <w:p w14:paraId="217FBFAC" w14:textId="2DCC581C" w:rsidR="00CF35D9" w:rsidRDefault="00CF35D9" w:rsidP="00CF35D9">
      <w:r>
        <w:t>1) Referral to OIM Investigation Complaint Queue</w:t>
      </w:r>
    </w:p>
    <w:p w14:paraId="512EA476" w14:textId="135D0271" w:rsidR="00CF35D9" w:rsidRDefault="00CF35D9" w:rsidP="00CF35D9">
      <w:r>
        <w:t>2) Referral to other Department for rapid resolution</w:t>
      </w:r>
    </w:p>
    <w:p w14:paraId="056835E3" w14:textId="77777777" w:rsidR="00CF35D9" w:rsidRDefault="00CF35D9" w:rsidP="00CF35D9">
      <w:r>
        <w:t>3) Dismissal</w:t>
      </w:r>
    </w:p>
    <w:p w14:paraId="09E7F1FA" w14:textId="77777777" w:rsidR="00CF35D9" w:rsidRDefault="00CF35D9" w:rsidP="00CF35D9">
      <w:r>
        <w:tab/>
        <w:t xml:space="preserve">- Grounds </w:t>
      </w:r>
    </w:p>
    <w:p w14:paraId="223AB341" w14:textId="77777777" w:rsidR="00CF35D9" w:rsidRDefault="00CF35D9" w:rsidP="00CF35D9">
      <w:r>
        <w:tab/>
        <w:t xml:space="preserve">- Communication </w:t>
      </w:r>
    </w:p>
    <w:p w14:paraId="0A1B3D74" w14:textId="72335B7A" w:rsidR="00CF35D9" w:rsidRDefault="00CF35D9" w:rsidP="00CF35D9">
      <w:r>
        <w:tab/>
        <w:t>- Appeal</w:t>
      </w:r>
    </w:p>
    <w:p w14:paraId="52114522" w14:textId="77777777" w:rsidR="00CF35D9" w:rsidRDefault="00CF35D9" w:rsidP="00CF35D9">
      <w:r>
        <w:t>4) Pending/Incomplete (Needs additional information or is unactionable at present)</w:t>
      </w:r>
    </w:p>
    <w:p w14:paraId="7B9619D1" w14:textId="77777777" w:rsidR="00CF35D9" w:rsidRDefault="00CF35D9" w:rsidP="00CF35D9">
      <w:r>
        <w:tab/>
        <w:t>- Information recorded and tagged</w:t>
      </w:r>
    </w:p>
    <w:p w14:paraId="0C982655" w14:textId="37493A87" w:rsidR="00CF35D9" w:rsidRDefault="00CF35D9" w:rsidP="00CF35D9">
      <w:r>
        <w:tab/>
        <w:t>- Determine conditions or required information to re-open</w:t>
      </w:r>
    </w:p>
    <w:p w14:paraId="440330CB" w14:textId="77777777" w:rsidR="00CF35D9" w:rsidRDefault="00CF35D9" w:rsidP="00CF35D9">
      <w:r>
        <w:t>5) Mediation</w:t>
      </w:r>
    </w:p>
    <w:p w14:paraId="4973B223" w14:textId="77777777" w:rsidR="00CF35D9" w:rsidRDefault="00CF35D9" w:rsidP="00CF35D9">
      <w:r>
        <w:tab/>
        <w:t>- Goals and expectations</w:t>
      </w:r>
    </w:p>
    <w:p w14:paraId="7685D31C" w14:textId="77777777" w:rsidR="00CF35D9" w:rsidRDefault="00CF35D9" w:rsidP="00CF35D9">
      <w:r>
        <w:tab/>
        <w:t>- Feasibility</w:t>
      </w:r>
    </w:p>
    <w:p w14:paraId="46388E47" w14:textId="77777777" w:rsidR="00CF35D9" w:rsidRDefault="00CF35D9" w:rsidP="00CF35D9"/>
    <w:p w14:paraId="02B7150F" w14:textId="77777777" w:rsidR="00CF35D9" w:rsidRPr="00CF35D9" w:rsidRDefault="00CF35D9" w:rsidP="00CF35D9">
      <w:pPr>
        <w:rPr>
          <w:b/>
          <w:bCs/>
          <w:u w:val="single"/>
        </w:rPr>
      </w:pPr>
      <w:r w:rsidRPr="00CF35D9">
        <w:rPr>
          <w:b/>
          <w:bCs/>
          <w:u w:val="single"/>
        </w:rPr>
        <w:t>Triage Scoring rubric</w:t>
      </w:r>
    </w:p>
    <w:p w14:paraId="44AF9D11" w14:textId="77777777" w:rsidR="00CF35D9" w:rsidRDefault="00CF35D9" w:rsidP="00CF35D9"/>
    <w:p w14:paraId="615B7CE7" w14:textId="4DABF243" w:rsidR="004E719D" w:rsidRDefault="009913D2" w:rsidP="00CF35D9">
      <w:r w:rsidRPr="00500BF0">
        <w:rPr>
          <w:i/>
          <w:iCs/>
        </w:rPr>
        <w:t>Safeguard</w:t>
      </w:r>
      <w:r w:rsidR="00500BF0" w:rsidRPr="00500BF0">
        <w:rPr>
          <w:i/>
          <w:iCs/>
        </w:rPr>
        <w:t xml:space="preserve"> Code</w:t>
      </w:r>
      <w:r w:rsidRPr="00500BF0">
        <w:rPr>
          <w:i/>
          <w:iCs/>
        </w:rPr>
        <w:t>:</w:t>
      </w:r>
      <w:r>
        <w:t xml:space="preserve"> Scores will be assigned an alphabetical code</w:t>
      </w:r>
      <w:r w:rsidR="006457E5">
        <w:t xml:space="preserve"> to precede their score. </w:t>
      </w:r>
      <w:r w:rsidR="000972C7">
        <w:t xml:space="preserve">These codes will be updated and provide an at-a-glance view of the age of a complaint. </w:t>
      </w:r>
    </w:p>
    <w:p w14:paraId="1F6A36B8" w14:textId="77777777" w:rsidR="0056011D" w:rsidRDefault="004E719D" w:rsidP="004E719D">
      <w:pPr>
        <w:ind w:firstLine="720"/>
      </w:pPr>
      <w:r>
        <w:t xml:space="preserve">Example: </w:t>
      </w:r>
      <w:r w:rsidR="006457E5">
        <w:t xml:space="preserve">At </w:t>
      </w:r>
      <w:r w:rsidR="00500BF0">
        <w:t xml:space="preserve">time of </w:t>
      </w:r>
      <w:r w:rsidR="006457E5">
        <w:t>entry</w:t>
      </w:r>
      <w:r>
        <w:t xml:space="preserve"> of Complaint 1</w:t>
      </w:r>
      <w:r w:rsidR="006457E5">
        <w:t xml:space="preserve">, </w:t>
      </w:r>
      <w:r>
        <w:t xml:space="preserve">which receives a score of </w:t>
      </w:r>
      <w:r w:rsidR="00992FB3">
        <w:t>5,304</w:t>
      </w:r>
      <w:r w:rsidR="00500BF0">
        <w:t>, the</w:t>
      </w:r>
      <w:r w:rsidR="006457E5">
        <w:t xml:space="preserve"> </w:t>
      </w:r>
      <w:r w:rsidR="00A83F98">
        <w:t xml:space="preserve">code will be “D.” Upon the entry of </w:t>
      </w:r>
      <w:r w:rsidR="00500BF0">
        <w:t>C</w:t>
      </w:r>
      <w:r w:rsidR="00A83F98">
        <w:t xml:space="preserve">omplaint </w:t>
      </w:r>
      <w:r w:rsidR="00500BF0">
        <w:t xml:space="preserve">2, which </w:t>
      </w:r>
      <w:r w:rsidR="00A83F98">
        <w:t xml:space="preserve">scores higher </w:t>
      </w:r>
      <w:r w:rsidR="00500BF0">
        <w:t xml:space="preserve">than 5,304 </w:t>
      </w:r>
      <w:r w:rsidR="00A83F98">
        <w:t xml:space="preserve">and is thus ranked above </w:t>
      </w:r>
      <w:r w:rsidR="00500BF0">
        <w:t xml:space="preserve">Complaint 1, the code </w:t>
      </w:r>
      <w:r w:rsidR="00724D36">
        <w:t>of Complaint 1 will change from “D” to “C”</w:t>
      </w:r>
      <w:r w:rsidR="001F1743">
        <w:t xml:space="preserve"> and so on.</w:t>
      </w:r>
      <w:r w:rsidR="00724D36">
        <w:t xml:space="preserve"> No complaint with </w:t>
      </w:r>
      <w:r w:rsidR="001F1743">
        <w:t xml:space="preserve">a code of “A” may be skipped. </w:t>
      </w:r>
      <w:r w:rsidR="00F1223D">
        <w:t xml:space="preserve">A complaint with a Selection Score of </w:t>
      </w:r>
      <w:r w:rsidR="001F1743">
        <w:t>A-</w:t>
      </w:r>
      <w:r w:rsidR="00F1223D">
        <w:t>5,304 will be ranked above a complaint with a Selection Score of B-</w:t>
      </w:r>
      <w:r w:rsidR="00A00E25">
        <w:t>6,204.</w:t>
      </w:r>
    </w:p>
    <w:p w14:paraId="6D462597" w14:textId="77777777" w:rsidR="009913D2" w:rsidRDefault="009913D2" w:rsidP="00CF35D9"/>
    <w:p w14:paraId="20296CFF" w14:textId="21F349A1" w:rsidR="00CF35D9" w:rsidRPr="00CF35D9" w:rsidRDefault="00550550" w:rsidP="00CF35D9">
      <w:pPr>
        <w:rPr>
          <w:b/>
          <w:bCs/>
        </w:rPr>
      </w:pPr>
      <w:r>
        <w:rPr>
          <w:b/>
          <w:bCs/>
        </w:rPr>
        <w:t>I</w:t>
      </w:r>
      <w:r w:rsidR="00CF35D9" w:rsidRPr="00CF35D9">
        <w:rPr>
          <w:b/>
          <w:bCs/>
        </w:rPr>
        <w:t>. Category Code</w:t>
      </w:r>
    </w:p>
    <w:p w14:paraId="7047389E" w14:textId="77777777" w:rsidR="00CF35D9" w:rsidRDefault="00CF35D9" w:rsidP="00CF35D9">
      <w:r>
        <w:t>1) 010 – Use of Force (9000)</w:t>
      </w:r>
    </w:p>
    <w:p w14:paraId="7753F843" w14:textId="77777777" w:rsidR="00CF35D9" w:rsidRDefault="00CF35D9" w:rsidP="00CF35D9">
      <w:r>
        <w:t>2) 020 – Racial Profiling (8000)</w:t>
      </w:r>
    </w:p>
    <w:p w14:paraId="6B680DB6" w14:textId="77777777" w:rsidR="00CF35D9" w:rsidRDefault="00CF35D9" w:rsidP="00CF35D9">
      <w:r>
        <w:t>3) 030 - Discrimination (7000)</w:t>
      </w:r>
    </w:p>
    <w:p w14:paraId="11E2E433" w14:textId="77777777" w:rsidR="00CF35D9" w:rsidRDefault="00CF35D9" w:rsidP="00CF35D9">
      <w:r>
        <w:lastRenderedPageBreak/>
        <w:t>4) 040 – Ethical/Procedural Misconduct (6000)</w:t>
      </w:r>
    </w:p>
    <w:p w14:paraId="48592D5A" w14:textId="77777777" w:rsidR="00CF35D9" w:rsidRDefault="00CF35D9" w:rsidP="00CF35D9">
      <w:r>
        <w:t>5) 050 – Discourtesy (5000)</w:t>
      </w:r>
    </w:p>
    <w:p w14:paraId="202DB1B6" w14:textId="77777777" w:rsidR="00CF35D9" w:rsidRDefault="00CF35D9" w:rsidP="00CF35D9">
      <w:r>
        <w:t>6) 060 – Policy Failure (4000)</w:t>
      </w:r>
    </w:p>
    <w:p w14:paraId="140748B2" w14:textId="77777777" w:rsidR="00CF35D9" w:rsidRDefault="00CF35D9" w:rsidP="00CF35D9">
      <w:r>
        <w:t>7) 070 - Policy Success (3000)</w:t>
      </w:r>
    </w:p>
    <w:p w14:paraId="767C8344" w14:textId="77777777" w:rsidR="00CF35D9" w:rsidRDefault="00CF35D9" w:rsidP="00CF35D9">
      <w:r>
        <w:t>8) 080 – MPD Staff Praise (2000)</w:t>
      </w:r>
    </w:p>
    <w:p w14:paraId="21C4C729" w14:textId="77777777" w:rsidR="00CF35D9" w:rsidRDefault="00CF35D9" w:rsidP="00CF35D9">
      <w:r>
        <w:t>9) 090 – General Public Input (1000)</w:t>
      </w:r>
    </w:p>
    <w:p w14:paraId="15192253" w14:textId="77777777" w:rsidR="00CF35D9" w:rsidRDefault="00CF35D9" w:rsidP="00CF35D9"/>
    <w:p w14:paraId="00468700" w14:textId="1489409D" w:rsidR="00CF35D9" w:rsidRPr="00CF35D9" w:rsidRDefault="00550550" w:rsidP="00CF35D9">
      <w:pPr>
        <w:rPr>
          <w:b/>
          <w:bCs/>
        </w:rPr>
      </w:pPr>
      <w:r>
        <w:rPr>
          <w:b/>
          <w:bCs/>
        </w:rPr>
        <w:t>II</w:t>
      </w:r>
      <w:r w:rsidR="00CF35D9" w:rsidRPr="00CF35D9">
        <w:rPr>
          <w:b/>
          <w:bCs/>
        </w:rPr>
        <w:t>. Degradation risk:</w:t>
      </w:r>
    </w:p>
    <w:p w14:paraId="2CB5AAFF" w14:textId="77777777" w:rsidR="00CF35D9" w:rsidRDefault="00CF35D9" w:rsidP="00CF35D9">
      <w:r>
        <w:t>1) Immediate (exigent circumstances concerning material evidence) (1000)</w:t>
      </w:r>
    </w:p>
    <w:p w14:paraId="506DC19E" w14:textId="77777777" w:rsidR="00CF35D9" w:rsidRDefault="00CF35D9" w:rsidP="00CF35D9">
      <w:r>
        <w:t>2) Urgent (Evidence limited to statements, physical evidence not in custody, interviews needed) (800)</w:t>
      </w:r>
    </w:p>
    <w:p w14:paraId="1DA9AF7B" w14:textId="77777777" w:rsidR="00CF35D9" w:rsidRDefault="00CF35D9" w:rsidP="00CF35D9">
      <w:r>
        <w:t>3) High (Evidence includes physical evidence which is secured, but interviews are needed to establish statements) (600)</w:t>
      </w:r>
    </w:p>
    <w:p w14:paraId="11BDB670" w14:textId="77777777" w:rsidR="00CF35D9" w:rsidRDefault="00CF35D9" w:rsidP="00CF35D9">
      <w:r>
        <w:t>4) Moderate (Evidence does not include physical evidence but sufficient statements have been taken and secured) (400)</w:t>
      </w:r>
    </w:p>
    <w:p w14:paraId="360C955E" w14:textId="77777777" w:rsidR="00CF35D9" w:rsidRDefault="00CF35D9" w:rsidP="00CF35D9">
      <w:r>
        <w:t>5) Low (Physical evidence secure, sufficient statements taken and secured) (200)</w:t>
      </w:r>
    </w:p>
    <w:p w14:paraId="1BCB1736" w14:textId="77777777" w:rsidR="00CF35D9" w:rsidRDefault="00CF35D9" w:rsidP="00CF35D9"/>
    <w:p w14:paraId="594620D9" w14:textId="62BD7D93" w:rsidR="00CF35D9" w:rsidRPr="00CF35D9" w:rsidRDefault="00550550" w:rsidP="00CF35D9">
      <w:pPr>
        <w:rPr>
          <w:b/>
          <w:bCs/>
        </w:rPr>
      </w:pPr>
      <w:r>
        <w:rPr>
          <w:b/>
          <w:bCs/>
        </w:rPr>
        <w:t>III</w:t>
      </w:r>
      <w:r w:rsidR="00CF35D9" w:rsidRPr="00CF35D9">
        <w:rPr>
          <w:b/>
          <w:bCs/>
        </w:rPr>
        <w:t>. Age of incident</w:t>
      </w:r>
    </w:p>
    <w:p w14:paraId="72670171" w14:textId="1D535EB4" w:rsidR="00CF35D9" w:rsidRDefault="00CF35D9" w:rsidP="00CF35D9">
      <w:r>
        <w:t>(less than)</w:t>
      </w:r>
    </w:p>
    <w:p w14:paraId="74AF395E" w14:textId="77777777" w:rsidR="00CF35D9" w:rsidRDefault="00CF35D9" w:rsidP="00CF35D9">
      <w:r>
        <w:t>1) 30 Days (100)</w:t>
      </w:r>
    </w:p>
    <w:p w14:paraId="0138CBF4" w14:textId="77777777" w:rsidR="00CF35D9" w:rsidRDefault="00CF35D9" w:rsidP="00CF35D9">
      <w:r>
        <w:t>2) 60 Days (90)</w:t>
      </w:r>
    </w:p>
    <w:p w14:paraId="7AF50C67" w14:textId="77777777" w:rsidR="00CF35D9" w:rsidRDefault="00CF35D9" w:rsidP="00CF35D9">
      <w:r>
        <w:t>3) 90 Days (80)</w:t>
      </w:r>
    </w:p>
    <w:p w14:paraId="25E9D789" w14:textId="77777777" w:rsidR="00CF35D9" w:rsidRDefault="00CF35D9" w:rsidP="00CF35D9">
      <w:r>
        <w:t>4) 6 months (70)</w:t>
      </w:r>
    </w:p>
    <w:p w14:paraId="16FE7B6A" w14:textId="77777777" w:rsidR="00CF35D9" w:rsidRDefault="00CF35D9" w:rsidP="00CF35D9">
      <w:r>
        <w:t>5) 1 year (60)</w:t>
      </w:r>
    </w:p>
    <w:p w14:paraId="3BD1406A" w14:textId="77777777" w:rsidR="00CF35D9" w:rsidRDefault="00CF35D9" w:rsidP="00CF35D9">
      <w:r>
        <w:t>6) 1 year 6 months (50)</w:t>
      </w:r>
    </w:p>
    <w:p w14:paraId="65A0F11B" w14:textId="77777777" w:rsidR="00CF35D9" w:rsidRDefault="00CF35D9" w:rsidP="00CF35D9">
      <w:r>
        <w:t>7) 2 years (40)</w:t>
      </w:r>
    </w:p>
    <w:p w14:paraId="6A4E8767" w14:textId="77777777" w:rsidR="00CF35D9" w:rsidRDefault="00CF35D9" w:rsidP="00CF35D9">
      <w:r>
        <w:t>8) 2 years 6 months (30)</w:t>
      </w:r>
    </w:p>
    <w:p w14:paraId="61AD5827" w14:textId="77777777" w:rsidR="00CF35D9" w:rsidRDefault="00CF35D9" w:rsidP="00CF35D9">
      <w:r>
        <w:t>9) 3 years (20)</w:t>
      </w:r>
    </w:p>
    <w:p w14:paraId="521BB2EC" w14:textId="77777777" w:rsidR="00CF35D9" w:rsidRDefault="00CF35D9" w:rsidP="00CF35D9">
      <w:r>
        <w:t>10) over 3 years (10)</w:t>
      </w:r>
    </w:p>
    <w:p w14:paraId="0BABF103" w14:textId="77777777" w:rsidR="00CF35D9" w:rsidRDefault="00CF35D9" w:rsidP="00CF35D9"/>
    <w:p w14:paraId="5E49BB6E" w14:textId="197F221B" w:rsidR="00CF35D9" w:rsidRPr="00CF35D9" w:rsidRDefault="00550550" w:rsidP="00CF35D9">
      <w:pPr>
        <w:rPr>
          <w:b/>
          <w:bCs/>
        </w:rPr>
      </w:pPr>
      <w:r>
        <w:rPr>
          <w:b/>
          <w:bCs/>
        </w:rPr>
        <w:lastRenderedPageBreak/>
        <w:t>IV</w:t>
      </w:r>
      <w:r w:rsidR="00CF35D9" w:rsidRPr="00CF35D9">
        <w:rPr>
          <w:b/>
          <w:bCs/>
        </w:rPr>
        <w:t>. Actionability of Evidence</w:t>
      </w:r>
    </w:p>
    <w:p w14:paraId="4DA865C5" w14:textId="77777777" w:rsidR="00CF35D9" w:rsidRDefault="00CF35D9" w:rsidP="00CF35D9">
      <w:r>
        <w:t>1) Video, Audio, 2 or more Witnesses (10)</w:t>
      </w:r>
    </w:p>
    <w:p w14:paraId="5055053E" w14:textId="77777777" w:rsidR="00CF35D9" w:rsidRDefault="00CF35D9" w:rsidP="00CF35D9">
      <w:r>
        <w:t>2) Either Video or Audio, 2 or more Witnesses (8)</w:t>
      </w:r>
    </w:p>
    <w:p w14:paraId="68B6EAB8" w14:textId="77777777" w:rsidR="00CF35D9" w:rsidRDefault="00CF35D9" w:rsidP="00CF35D9">
      <w:r>
        <w:t>3) Either Video or Audio, 2 Witnesses (6)</w:t>
      </w:r>
    </w:p>
    <w:p w14:paraId="4C5794D2" w14:textId="77777777" w:rsidR="00CF35D9" w:rsidRDefault="00CF35D9" w:rsidP="00CF35D9">
      <w:r>
        <w:t>4) 2 witnesses (4)</w:t>
      </w:r>
    </w:p>
    <w:p w14:paraId="56F51F6B" w14:textId="77777777" w:rsidR="00CF35D9" w:rsidRDefault="00CF35D9" w:rsidP="00CF35D9">
      <w:r>
        <w:t>5) 1 witness (2)</w:t>
      </w:r>
    </w:p>
    <w:p w14:paraId="577815F4" w14:textId="77777777" w:rsidR="00CF35D9" w:rsidRDefault="00CF35D9" w:rsidP="00CF35D9"/>
    <w:p w14:paraId="52F6EF94" w14:textId="70118B10" w:rsidR="00CF35D9" w:rsidRDefault="00CF35D9" w:rsidP="00CF35D9">
      <w:r>
        <w:t>Potential other metrics?</w:t>
      </w:r>
    </w:p>
    <w:p w14:paraId="6651D61B" w14:textId="2B13FB76" w:rsidR="00CF35D9" w:rsidRPr="00CF35D9" w:rsidRDefault="00550550" w:rsidP="00CF35D9">
      <w:pPr>
        <w:rPr>
          <w:b/>
          <w:bCs/>
        </w:rPr>
      </w:pPr>
      <w:r>
        <w:rPr>
          <w:b/>
          <w:bCs/>
        </w:rPr>
        <w:t>V</w:t>
      </w:r>
      <w:r w:rsidR="00CF35D9" w:rsidRPr="00CF35D9">
        <w:rPr>
          <w:b/>
          <w:bCs/>
        </w:rPr>
        <w:t>. Resolution Sought</w:t>
      </w:r>
    </w:p>
    <w:p w14:paraId="6C8FC5BD" w14:textId="2D5ECDDD" w:rsidR="00CF35D9" w:rsidRDefault="00CF35D9" w:rsidP="00CF35D9">
      <w:r>
        <w:t>1) Referral to PFC (policy or individual)</w:t>
      </w:r>
    </w:p>
    <w:p w14:paraId="62A1CE22" w14:textId="586063B7" w:rsidR="00CF35D9" w:rsidRDefault="00CF35D9" w:rsidP="00CF35D9">
      <w:r>
        <w:t>2) Chief recommendation (policy or individual)</w:t>
      </w:r>
    </w:p>
    <w:p w14:paraId="746DCC89" w14:textId="77777777" w:rsidR="00CF35D9" w:rsidRDefault="00CF35D9" w:rsidP="00CF35D9">
      <w:r>
        <w:t>3) Mediation</w:t>
      </w:r>
    </w:p>
    <w:p w14:paraId="01A14452" w14:textId="334C89F9" w:rsidR="0005298A" w:rsidRDefault="00CF35D9" w:rsidP="00CF35D9">
      <w:r>
        <w:t>4) Record of Incident</w:t>
      </w:r>
    </w:p>
    <w:p w14:paraId="7C7D9C84" w14:textId="0D7CBC5C" w:rsidR="00CF35D9" w:rsidRDefault="00CF35D9" w:rsidP="00CF35D9">
      <w:r>
        <w:t>5) ?</w:t>
      </w:r>
    </w:p>
    <w:p w14:paraId="5AA55072" w14:textId="77777777" w:rsidR="00A45C0D" w:rsidRDefault="00A45C0D" w:rsidP="00CF35D9"/>
    <w:p w14:paraId="51938C85" w14:textId="201D1084" w:rsidR="00A45C0D" w:rsidRPr="008D735F" w:rsidRDefault="00A45C0D" w:rsidP="00CF35D9">
      <w:pPr>
        <w:rPr>
          <w:b/>
          <w:bCs/>
          <w:u w:val="single"/>
        </w:rPr>
      </w:pPr>
      <w:r w:rsidRPr="008D735F">
        <w:rPr>
          <w:b/>
          <w:bCs/>
          <w:u w:val="single"/>
        </w:rPr>
        <w:t>Conclusion:</w:t>
      </w:r>
    </w:p>
    <w:p w14:paraId="30E88183" w14:textId="619CBAA0" w:rsidR="00A45C0D" w:rsidRDefault="00A45C0D" w:rsidP="00A45C0D">
      <w:pPr>
        <w:ind w:firstLine="720"/>
      </w:pPr>
      <w:r>
        <w:t xml:space="preserve">This system aims to </w:t>
      </w:r>
      <w:r>
        <w:t>use</w:t>
      </w:r>
      <w:r>
        <w:t xml:space="preserve"> category code</w:t>
      </w:r>
      <w:r>
        <w:t>s</w:t>
      </w:r>
      <w:r>
        <w:t xml:space="preserve"> as the primary </w:t>
      </w:r>
      <w:r>
        <w:t xml:space="preserve">selection rubric, </w:t>
      </w:r>
      <w:r w:rsidR="00C84BB4">
        <w:t>and the degradation of evidence as the secondary selection rubric. Effectively then, items such as age of the incident and actionability of the evidence, which are linked in several unavoidable ways, have a near equal role to each other</w:t>
      </w:r>
      <w:r w:rsidR="008D735F">
        <w:t xml:space="preserve"> and serve</w:t>
      </w:r>
      <w:r w:rsidR="00C84BB4">
        <w:t xml:space="preserve"> </w:t>
      </w:r>
      <w:r w:rsidR="008D735F">
        <w:t>to</w:t>
      </w:r>
      <w:r w:rsidR="00C84BB4">
        <w:t xml:space="preserve"> break tie</w:t>
      </w:r>
      <w:r w:rsidR="008D735F">
        <w:t>s.</w:t>
      </w:r>
      <w:r>
        <w:t xml:space="preserve"> </w:t>
      </w:r>
    </w:p>
    <w:p w14:paraId="46727B14" w14:textId="77777777" w:rsidR="00A45C0D" w:rsidRDefault="00A45C0D" w:rsidP="00CF35D9"/>
    <w:sectPr w:rsidR="00A45C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F3386" w14:textId="77777777" w:rsidR="004E719D" w:rsidRDefault="004E719D" w:rsidP="004E719D">
      <w:pPr>
        <w:spacing w:after="0" w:line="240" w:lineRule="auto"/>
      </w:pPr>
      <w:r>
        <w:separator/>
      </w:r>
    </w:p>
  </w:endnote>
  <w:endnote w:type="continuationSeparator" w:id="0">
    <w:p w14:paraId="53F2D209" w14:textId="77777777" w:rsidR="004E719D" w:rsidRDefault="004E719D" w:rsidP="004E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21C63" w14:textId="77777777" w:rsidR="004E719D" w:rsidRDefault="004E719D" w:rsidP="004E719D">
      <w:pPr>
        <w:spacing w:after="0" w:line="240" w:lineRule="auto"/>
      </w:pPr>
      <w:r>
        <w:separator/>
      </w:r>
    </w:p>
  </w:footnote>
  <w:footnote w:type="continuationSeparator" w:id="0">
    <w:p w14:paraId="790CDB0B" w14:textId="77777777" w:rsidR="004E719D" w:rsidRDefault="004E719D" w:rsidP="004E71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D9"/>
    <w:rsid w:val="0005298A"/>
    <w:rsid w:val="000972C7"/>
    <w:rsid w:val="001F1743"/>
    <w:rsid w:val="00311975"/>
    <w:rsid w:val="003E2B50"/>
    <w:rsid w:val="004E719D"/>
    <w:rsid w:val="00500BF0"/>
    <w:rsid w:val="00550550"/>
    <w:rsid w:val="0056011D"/>
    <w:rsid w:val="006457E5"/>
    <w:rsid w:val="00724D36"/>
    <w:rsid w:val="007374AF"/>
    <w:rsid w:val="008D735F"/>
    <w:rsid w:val="008E1432"/>
    <w:rsid w:val="009913D2"/>
    <w:rsid w:val="00992FB3"/>
    <w:rsid w:val="00A00E25"/>
    <w:rsid w:val="00A45C0D"/>
    <w:rsid w:val="00A83F98"/>
    <w:rsid w:val="00AF6EBD"/>
    <w:rsid w:val="00BD3C39"/>
    <w:rsid w:val="00C84BB4"/>
    <w:rsid w:val="00CF35D9"/>
    <w:rsid w:val="00CF6E0C"/>
    <w:rsid w:val="00D25BBA"/>
    <w:rsid w:val="00E45F60"/>
    <w:rsid w:val="00F02BCB"/>
    <w:rsid w:val="00F1223D"/>
    <w:rsid w:val="00F2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558C"/>
  <w15:chartTrackingRefBased/>
  <w15:docId w15:val="{7ACC4CAC-117A-4F33-A055-66BA06B0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5D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F35D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F35D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F35D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F35D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F3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5D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F35D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F35D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F35D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F35D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F3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5D9"/>
    <w:rPr>
      <w:rFonts w:eastAsiaTheme="majorEastAsia" w:cstheme="majorBidi"/>
      <w:color w:val="272727" w:themeColor="text1" w:themeTint="D8"/>
    </w:rPr>
  </w:style>
  <w:style w:type="paragraph" w:styleId="Title">
    <w:name w:val="Title"/>
    <w:basedOn w:val="Normal"/>
    <w:next w:val="Normal"/>
    <w:link w:val="TitleChar"/>
    <w:uiPriority w:val="10"/>
    <w:qFormat/>
    <w:rsid w:val="00CF3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5D9"/>
    <w:pPr>
      <w:spacing w:before="160"/>
      <w:jc w:val="center"/>
    </w:pPr>
    <w:rPr>
      <w:i/>
      <w:iCs/>
      <w:color w:val="404040" w:themeColor="text1" w:themeTint="BF"/>
    </w:rPr>
  </w:style>
  <w:style w:type="character" w:customStyle="1" w:styleId="QuoteChar">
    <w:name w:val="Quote Char"/>
    <w:basedOn w:val="DefaultParagraphFont"/>
    <w:link w:val="Quote"/>
    <w:uiPriority w:val="29"/>
    <w:rsid w:val="00CF35D9"/>
    <w:rPr>
      <w:i/>
      <w:iCs/>
      <w:color w:val="404040" w:themeColor="text1" w:themeTint="BF"/>
    </w:rPr>
  </w:style>
  <w:style w:type="paragraph" w:styleId="ListParagraph">
    <w:name w:val="List Paragraph"/>
    <w:basedOn w:val="Normal"/>
    <w:uiPriority w:val="34"/>
    <w:qFormat/>
    <w:rsid w:val="00CF35D9"/>
    <w:pPr>
      <w:ind w:left="720"/>
      <w:contextualSpacing/>
    </w:pPr>
  </w:style>
  <w:style w:type="character" w:styleId="IntenseEmphasis">
    <w:name w:val="Intense Emphasis"/>
    <w:basedOn w:val="DefaultParagraphFont"/>
    <w:uiPriority w:val="21"/>
    <w:qFormat/>
    <w:rsid w:val="00CF35D9"/>
    <w:rPr>
      <w:i/>
      <w:iCs/>
      <w:color w:val="2E74B5" w:themeColor="accent1" w:themeShade="BF"/>
    </w:rPr>
  </w:style>
  <w:style w:type="paragraph" w:styleId="IntenseQuote">
    <w:name w:val="Intense Quote"/>
    <w:basedOn w:val="Normal"/>
    <w:next w:val="Normal"/>
    <w:link w:val="IntenseQuoteChar"/>
    <w:uiPriority w:val="30"/>
    <w:qFormat/>
    <w:rsid w:val="00CF35D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F35D9"/>
    <w:rPr>
      <w:i/>
      <w:iCs/>
      <w:color w:val="2E74B5" w:themeColor="accent1" w:themeShade="BF"/>
    </w:rPr>
  </w:style>
  <w:style w:type="character" w:styleId="IntenseReference">
    <w:name w:val="Intense Reference"/>
    <w:basedOn w:val="DefaultParagraphFont"/>
    <w:uiPriority w:val="32"/>
    <w:qFormat/>
    <w:rsid w:val="00CF35D9"/>
    <w:rPr>
      <w:b/>
      <w:bCs/>
      <w:smallCaps/>
      <w:color w:val="2E74B5" w:themeColor="accent1" w:themeShade="BF"/>
      <w:spacing w:val="5"/>
    </w:rPr>
  </w:style>
  <w:style w:type="paragraph" w:styleId="Header">
    <w:name w:val="header"/>
    <w:basedOn w:val="Normal"/>
    <w:link w:val="HeaderChar"/>
    <w:uiPriority w:val="99"/>
    <w:unhideWhenUsed/>
    <w:rsid w:val="004E7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19D"/>
  </w:style>
  <w:style w:type="paragraph" w:styleId="Footer">
    <w:name w:val="footer"/>
    <w:basedOn w:val="Normal"/>
    <w:link w:val="FooterChar"/>
    <w:uiPriority w:val="99"/>
    <w:unhideWhenUsed/>
    <w:rsid w:val="004E7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473</Words>
  <Characters>2697</Characters>
  <Application>Microsoft Office Word</Application>
  <DocSecurity>0</DocSecurity>
  <Lines>22</Lines>
  <Paragraphs>6</Paragraphs>
  <ScaleCrop>false</ScaleCrop>
  <Company>City of Madison, WI</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Copley, Robin</dc:creator>
  <cp:keywords/>
  <dc:description/>
  <cp:lastModifiedBy>Copley, Robin</cp:lastModifiedBy>
  <cp:revision>20</cp:revision>
  <dcterms:created xsi:type="dcterms:W3CDTF">2024-09-05T21:59:00Z</dcterms:created>
  <dcterms:modified xsi:type="dcterms:W3CDTF">2024-09-05T22:20:00Z</dcterms:modified>
</cp:coreProperties>
</file>